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686"/>
        <w:gridCol w:w="3570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8151ED" w:rsidRPr="00B51B40" w14:paraId="0DB01FF4" w14:textId="77777777" w:rsidTr="00B52211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0ED31CF0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5409EC51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718B43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4F88772" w14:textId="77777777" w:rsidR="008151ED" w:rsidRPr="00DA437F" w:rsidRDefault="008151ED" w:rsidP="008151E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7617985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GENG1010**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3DF7FC2F" w14:textId="517FC5D9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A40EA5A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CITS2401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** </w:t>
            </w:r>
          </w:p>
          <w:p w14:paraId="62486C05" w14:textId="3704ECA8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Prereq: Math Methods ATAR or MATH1721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559455E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4CC6CAF7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30598D1C" w14:textId="77777777" w:rsidR="008151ED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(Physics ATAR or PHYS1030) &amp; </w:t>
            </w:r>
          </w:p>
          <w:p w14:paraId="70B0A5E9" w14:textId="77777777" w:rsidR="008151ED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46F1E47D" w14:textId="076CB6E2" w:rsidR="008151ED" w:rsidRPr="006F2747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</w:tr>
      <w:tr w:rsidR="008151ED" w:rsidRPr="00B51B40" w14:paraId="1680166C" w14:textId="77777777" w:rsidTr="00B52211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0D5D24C1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4957C785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A57FC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022E4ECB" w14:textId="77777777" w:rsidR="008151ED" w:rsidRPr="00DA437F" w:rsidRDefault="008151ED" w:rsidP="008151E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A437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1C7E0479" w14:textId="4591791E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86F47A0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ENSC2003**</w:t>
            </w: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  <w:p w14:paraId="501B8291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Eng. Electrical Fundamentals</w:t>
            </w:r>
          </w:p>
          <w:p w14:paraId="4A6CCC6B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(Phys ATAR or PHYS1030) &amp; </w:t>
            </w: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MATH1011</w:t>
            </w:r>
          </w:p>
          <w:p w14:paraId="0E922246" w14:textId="77777777" w:rsidR="008151ED" w:rsidRDefault="008151ED" w:rsidP="008151ED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MATH1012</w:t>
            </w:r>
          </w:p>
          <w:p w14:paraId="4AA991DA" w14:textId="355EBD54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6FD1DC5" w14:textId="77777777" w:rsidR="008151ED" w:rsidRPr="00C039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376BB60E" w14:textId="77777777" w:rsidR="008151ED" w:rsidRPr="00C0397F" w:rsidRDefault="008151ED" w:rsidP="008151E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3A34065C" w14:textId="77777777" w:rsidR="008151ED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 Specialist ATAR or MATH1722)</w:t>
            </w:r>
          </w:p>
          <w:p w14:paraId="78E4D800" w14:textId="77777777" w:rsidR="008151ED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7E3F7D5E" w:rsidR="008151ED" w:rsidRPr="00DA437F" w:rsidRDefault="008151ED" w:rsidP="008151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9CB708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color w:val="FF0000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ELEC1303</w:t>
            </w:r>
          </w:p>
          <w:p w14:paraId="45507F1F" w14:textId="619E7EE4" w:rsidR="008151ED" w:rsidRPr="00DA437F" w:rsidRDefault="008151ED" w:rsidP="008151ED">
            <w:pPr>
              <w:jc w:val="center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Digital Systems</w:t>
            </w:r>
          </w:p>
        </w:tc>
      </w:tr>
      <w:tr w:rsidR="008151E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311A105A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8151ED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13AF7622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8151ED" w:rsidRPr="00B51B40" w14:paraId="22A7F4C6" w14:textId="77777777" w:rsidTr="00B52211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1C50EB14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67572F56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C7C6E3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ELEC3021 </w:t>
            </w:r>
          </w:p>
          <w:p w14:paraId="4125CF27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Circuits and Electronics</w:t>
            </w:r>
          </w:p>
          <w:p w14:paraId="7A186D66" w14:textId="3E479C0D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ENSC2003 &amp; MATH1011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5B20835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  <w:t>STAT2063</w:t>
            </w:r>
          </w:p>
          <w:p w14:paraId="29F1BD82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Probabilistic Methods and their Applications </w:t>
            </w:r>
          </w:p>
          <w:p w14:paraId="5EC5DC23" w14:textId="39FFFF6A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bCs/>
                <w:i/>
                <w:color w:val="000000" w:themeColor="text1"/>
                <w:sz w:val="16"/>
                <w:szCs w:val="16"/>
              </w:rPr>
              <w:t>Prereq: MATH1011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01E31B0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PHYS2003</w:t>
            </w:r>
          </w:p>
          <w:p w14:paraId="2164E9B5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Physics for Electrical Engineers </w:t>
            </w:r>
          </w:p>
          <w:p w14:paraId="679B170F" w14:textId="7DBADE68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8"/>
                <w:szCs w:val="18"/>
                <w:lang w:eastAsia="en-AU"/>
              </w:rPr>
              <w:t>:</w:t>
            </w: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MATH1011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MATH1012 &amp; PHYS1001 </w:t>
            </w:r>
            <w:r w:rsidRPr="00DA437F">
              <w:rPr>
                <w:rFonts w:ascii="Century Gothic" w:hAnsi="Century Gothic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F6EA476" w14:textId="674B5FCC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Broadening </w:t>
            </w:r>
          </w:p>
        </w:tc>
      </w:tr>
      <w:tr w:rsidR="008151ED" w:rsidRPr="00B51B40" w14:paraId="2D150DD8" w14:textId="77777777" w:rsidTr="00276A96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14:paraId="16BFE49D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5AB223DD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8A6E94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ELEC2311</w:t>
            </w:r>
          </w:p>
          <w:p w14:paraId="31C0E328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Digital System Design </w:t>
            </w:r>
          </w:p>
          <w:p w14:paraId="22735B3E" w14:textId="4FD742A2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ELEC1303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A5C40D7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ELEC3015 </w:t>
            </w:r>
          </w:p>
          <w:p w14:paraId="403073AA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Signals and Systems</w:t>
            </w:r>
          </w:p>
          <w:p w14:paraId="532617A9" w14:textId="3763831C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CITS2401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ENSC2003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EA6DA19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ELEC3016 </w:t>
            </w:r>
          </w:p>
          <w:p w14:paraId="2209D93C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Power and Machines</w:t>
            </w:r>
          </w:p>
          <w:p w14:paraId="6EDF98B4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 w:rsidRPr="00DA437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ENSC2003 &amp; MATH1012 </w:t>
            </w:r>
          </w:p>
          <w:p w14:paraId="77668FCC" w14:textId="12F21D4A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183241A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MATH3023</w:t>
            </w:r>
          </w:p>
          <w:p w14:paraId="3F0CB025" w14:textId="77777777" w:rsidR="008151ED" w:rsidRPr="00DA437F" w:rsidRDefault="008151ED" w:rsidP="008151ED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Adv. Mathematics Applications</w:t>
            </w:r>
          </w:p>
          <w:p w14:paraId="643BCA4A" w14:textId="77777777" w:rsidR="008151ED" w:rsidRDefault="008151ED" w:rsidP="008151E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1</w:t>
            </w:r>
          </w:p>
          <w:p w14:paraId="2C2F4920" w14:textId="6AF215D0" w:rsidR="008151ED" w:rsidRPr="00DA437F" w:rsidRDefault="008151ED" w:rsidP="008151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MATH1012</w:t>
            </w:r>
          </w:p>
        </w:tc>
      </w:tr>
      <w:tr w:rsidR="008151ED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27798B92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8151ED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0A7E608E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8151ED" w:rsidRPr="00B51B40" w14:paraId="370D2C0D" w14:textId="77777777" w:rsidTr="00B52211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2D4AE88D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2DC82F35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59FD75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ELEC3014 </w:t>
            </w:r>
          </w:p>
          <w:p w14:paraId="125D47B6" w14:textId="77777777" w:rsidR="008151ED" w:rsidRPr="00DA437F" w:rsidRDefault="008151ED" w:rsidP="008151E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Electronic Materials and Devices</w:t>
            </w:r>
          </w:p>
          <w:p w14:paraId="7ADF5E41" w14:textId="303F0A6B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>: ENSC2003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</w:rPr>
              <w:t xml:space="preserve"> MATH1012 &amp; PHYS1001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9937264" w14:textId="0A18758B" w:rsidR="008151ED" w:rsidRPr="00DB1AF8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B1AF8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ELEC4408 </w:t>
            </w:r>
          </w:p>
          <w:p w14:paraId="68983693" w14:textId="54D08F81" w:rsidR="008151ED" w:rsidRPr="00DB1AF8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B1AF8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High Frequency Circuits and Systems</w:t>
            </w:r>
          </w:p>
          <w:p w14:paraId="547D6F1B" w14:textId="327293D9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ELEC3021 &amp; MATH3023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3018820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ELEC4407 </w:t>
            </w:r>
          </w:p>
          <w:p w14:paraId="0CCFF4E4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Electromagnetics</w:t>
            </w:r>
          </w:p>
          <w:p w14:paraId="6B1C3E1D" w14:textId="278D511B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ELEC3021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MATH3023 &amp; PHYS2003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2B1E7A0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ELEC4505 </w:t>
            </w:r>
          </w:p>
          <w:p w14:paraId="4E0FB1ED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Power System Analysis</w:t>
            </w:r>
          </w:p>
          <w:p w14:paraId="6393C583" w14:textId="52B18001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96 pts incl.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ELEC3016</w:t>
            </w:r>
          </w:p>
        </w:tc>
      </w:tr>
      <w:tr w:rsidR="008151ED" w:rsidRPr="00B51B40" w14:paraId="56E7B8DF" w14:textId="77777777" w:rsidTr="00B52211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3C7D0C1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53A06769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7E3E76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ELEC3020 </w:t>
            </w:r>
          </w:p>
          <w:p w14:paraId="1C2EF7EE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Embedded Systems</w:t>
            </w:r>
          </w:p>
          <w:p w14:paraId="1223201E" w14:textId="77777777" w:rsidR="008151ED" w:rsidRDefault="008151ED" w:rsidP="008151ED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63F59BDE" w14:textId="0AE633F2" w:rsidR="008151ED" w:rsidRPr="00DA437F" w:rsidRDefault="008151ED" w:rsidP="008151ED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CITS2401 or CITS1001 or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CITS2005 or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16C72E9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ELEC4402 </w:t>
            </w:r>
          </w:p>
          <w:p w14:paraId="08810A39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Communications Systems</w:t>
            </w:r>
          </w:p>
          <w:p w14:paraId="4B0C9E61" w14:textId="032ACFDB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STAT2063 &amp; 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ELEC3015 &amp; MATH3023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649591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GENG3402 </w:t>
            </w:r>
          </w:p>
          <w:p w14:paraId="35CAA4E2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Control Engineering</w:t>
            </w:r>
          </w:p>
          <w:p w14:paraId="3E24C974" w14:textId="3A243756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Prereq: MATH1011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5F65A02" w14:textId="585BFEEF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8151ED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214F8DFB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8151ED" w:rsidRPr="00B51B40" w14:paraId="002E6460" w14:textId="77777777" w:rsidTr="004E5FF5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  <w:vAlign w:val="center"/>
          </w:tcPr>
          <w:p w14:paraId="09B3ABE1" w14:textId="77777777" w:rsidR="008151ED" w:rsidRDefault="008151ED" w:rsidP="008151ED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4CD59D18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8151ED" w:rsidRPr="00B51B40" w14:paraId="6C8E11CC" w14:textId="77777777" w:rsidTr="00276A96">
        <w:trPr>
          <w:trHeight w:val="572"/>
        </w:trPr>
        <w:tc>
          <w:tcPr>
            <w:tcW w:w="1129" w:type="dxa"/>
            <w:shd w:val="clear" w:color="auto" w:fill="auto"/>
            <w:vAlign w:val="center"/>
          </w:tcPr>
          <w:p w14:paraId="0FE1E982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68C7D9C5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20BE8C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GENG4411 </w:t>
            </w:r>
          </w:p>
          <w:p w14:paraId="1B3B08C8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1</w:t>
            </w:r>
          </w:p>
          <w:p w14:paraId="52A4D0BD" w14:textId="056AF808" w:rsidR="008151ED" w:rsidRPr="00276A96" w:rsidRDefault="008151ED" w:rsidP="008151ED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7A7EAD5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ELEC4404 </w:t>
            </w:r>
          </w:p>
          <w:p w14:paraId="6FE8A858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Signal Processing</w:t>
            </w:r>
          </w:p>
          <w:p w14:paraId="58FB707F" w14:textId="314F884E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CITS2401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ELEC3015 &amp;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STAT2063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2468905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 xml:space="preserve">ELEC5506 </w:t>
            </w:r>
          </w:p>
          <w:p w14:paraId="37033931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Process Instrumentation and Control</w:t>
            </w:r>
          </w:p>
          <w:p w14:paraId="21D4741C" w14:textId="0D817658" w:rsidR="008151ED" w:rsidRDefault="008151ED" w:rsidP="008151ED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411791FA" w14:textId="5A0DB038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EBC657C" w14:textId="7E0F7991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8151ED" w:rsidRPr="00B51B40" w14:paraId="2CB49AC2" w14:textId="77777777" w:rsidTr="00B52211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7D992A58" w14:textId="77777777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77FA5E89" w:rsidR="008151ED" w:rsidRPr="008C27E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682422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GENG4412 </w:t>
            </w:r>
          </w:p>
          <w:p w14:paraId="013EF496" w14:textId="77777777" w:rsidR="008151ED" w:rsidRPr="00DA437F" w:rsidRDefault="008151ED" w:rsidP="008151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Engineering Research Project Pt 2</w:t>
            </w:r>
          </w:p>
          <w:p w14:paraId="6657E4D3" w14:textId="77777777" w:rsidR="008151ED" w:rsidRDefault="008151ED" w:rsidP="008151ED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GENG4411</w:t>
            </w:r>
          </w:p>
          <w:p w14:paraId="497FCA30" w14:textId="54F25CD3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76C044B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b/>
                <w:sz w:val="18"/>
                <w:szCs w:val="18"/>
              </w:rPr>
              <w:t>ELEC5552</w:t>
            </w:r>
          </w:p>
          <w:p w14:paraId="55ED609A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Electrical &amp; Electronic Engineering</w:t>
            </w:r>
          </w:p>
          <w:p w14:paraId="0E9FC5FF" w14:textId="77777777" w:rsidR="008151ED" w:rsidRPr="00DA437F" w:rsidRDefault="008151ED" w:rsidP="008151E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437F">
              <w:rPr>
                <w:rFonts w:ascii="Century Gothic" w:hAnsi="Century Gothic" w:cstheme="minorHAnsi"/>
                <w:sz w:val="18"/>
                <w:szCs w:val="18"/>
              </w:rPr>
              <w:t>Design Project 2</w:t>
            </w:r>
          </w:p>
          <w:p w14:paraId="2DC9B65B" w14:textId="4375D65D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GENG3000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17AE2D5" w14:textId="77777777" w:rsidR="008151ED" w:rsidRPr="00DA437F" w:rsidRDefault="008151ED" w:rsidP="008151E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 xml:space="preserve">GENG5505 </w:t>
            </w:r>
          </w:p>
          <w:p w14:paraId="4E0E8307" w14:textId="77777777" w:rsidR="008151ED" w:rsidRDefault="008151ED" w:rsidP="008151ED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A43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Project Management &amp; Engineering Practice</w:t>
            </w:r>
          </w:p>
          <w:p w14:paraId="2E65894A" w14:textId="7B0D5BA9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BB15272" w14:textId="40BB05D4" w:rsidR="008151ED" w:rsidRPr="00DA437F" w:rsidRDefault="008151ED" w:rsidP="008151E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A437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538720D2" w:rsidR="00021146" w:rsidRPr="00B51B40" w:rsidRDefault="008D5905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3F31C324" w14:textId="77777777" w:rsidR="00CA2697" w:rsidRPr="008C27EF" w:rsidRDefault="00CA2697" w:rsidP="00CA2697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10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73181577" w14:textId="77777777" w:rsidR="00CA2697" w:rsidRPr="008C27EF" w:rsidRDefault="00CA2697" w:rsidP="00CA2697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7DFC6AD1" w14:textId="77777777" w:rsidR="00CA2697" w:rsidRPr="008C27EF" w:rsidRDefault="00CA2697" w:rsidP="00CA2697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1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579AC60A" w14:textId="77777777" w:rsidR="00CA2697" w:rsidRDefault="00CA2697" w:rsidP="00CA2697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67AC600C" w14:textId="77777777" w:rsidR="00CA2697" w:rsidRPr="008C27EF" w:rsidRDefault="00CA2697" w:rsidP="00CA2697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5AED9435" w14:textId="77777777" w:rsidR="00CA2697" w:rsidRPr="008C27EF" w:rsidRDefault="00CA2697" w:rsidP="00CA2697">
      <w:pPr>
        <w:pStyle w:val="BodyText"/>
        <w:rPr>
          <w:rFonts w:ascii="Century Gothic" w:hAnsi="Century Gothic"/>
        </w:rPr>
      </w:pPr>
    </w:p>
    <w:p w14:paraId="6ADC9A45" w14:textId="77777777" w:rsidR="00CA2697" w:rsidRPr="003D5426" w:rsidRDefault="00CA2697" w:rsidP="00CA2697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2C173AF5" w14:textId="77777777" w:rsidR="00CA2697" w:rsidRPr="0023097C" w:rsidRDefault="00CA2697" w:rsidP="00CA2697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2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1E47AFD8" w:rsidR="00066EB3" w:rsidRPr="00066EB3" w:rsidRDefault="00066EB3" w:rsidP="00CA2697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 w:rsidSect="00E7105A">
      <w:headerReference w:type="default" r:id="rId13"/>
      <w:footerReference w:type="default" r:id="rId14"/>
      <w:pgSz w:w="16840" w:h="11910" w:orient="landscape"/>
      <w:pgMar w:top="1418" w:right="919" w:bottom="442" w:left="760" w:header="284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2045" w14:textId="77777777" w:rsidR="002C6BCA" w:rsidRDefault="002C6BCA">
      <w:r>
        <w:separator/>
      </w:r>
    </w:p>
  </w:endnote>
  <w:endnote w:type="continuationSeparator" w:id="0">
    <w:p w14:paraId="09B774B3" w14:textId="77777777" w:rsidR="002C6BCA" w:rsidRDefault="002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45D38BE9" w:rsidR="00B671EB" w:rsidRPr="00DB1AF8" w:rsidRDefault="00FC6EF2" w:rsidP="00B671EB">
    <w:pPr>
      <w:spacing w:line="183" w:lineRule="exact"/>
      <w:ind w:left="20"/>
      <w:rPr>
        <w:rFonts w:ascii="Corbel Light"/>
        <w:i/>
        <w:color w:val="000000" w:themeColor="text1"/>
        <w:sz w:val="16"/>
      </w:rPr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200C99AB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22BC" w14:textId="77777777" w:rsidR="002C6BCA" w:rsidRDefault="002C6BCA">
      <w:r>
        <w:separator/>
      </w:r>
    </w:p>
  </w:footnote>
  <w:footnote w:type="continuationSeparator" w:id="0">
    <w:p w14:paraId="01B4C9E3" w14:textId="77777777" w:rsidR="002C6BCA" w:rsidRDefault="002C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78E7241D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Electrical and Electronic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A71B33" w:rsidRPr="00A71B33">
      <w:rPr>
        <w:rFonts w:ascii="Century Gothic" w:hAnsi="Century Gothic"/>
        <w:b/>
        <w:sz w:val="24"/>
        <w:szCs w:val="24"/>
      </w:rPr>
      <w:t>MJD-EELEC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22A486AD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</w:t>
    </w:r>
    <w:r w:rsidR="00445696">
      <w:rPr>
        <w:rFonts w:ascii="Century Gothic" w:hAnsi="Century Gothic"/>
        <w:sz w:val="20"/>
        <w:szCs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45BCE"/>
    <w:rsid w:val="00066EB3"/>
    <w:rsid w:val="000D29A9"/>
    <w:rsid w:val="000E6A24"/>
    <w:rsid w:val="001146B5"/>
    <w:rsid w:val="001334F4"/>
    <w:rsid w:val="001B57D5"/>
    <w:rsid w:val="001E5B94"/>
    <w:rsid w:val="001E7AFA"/>
    <w:rsid w:val="001F4A7B"/>
    <w:rsid w:val="00227276"/>
    <w:rsid w:val="00276A96"/>
    <w:rsid w:val="00277C73"/>
    <w:rsid w:val="002C6BCA"/>
    <w:rsid w:val="00304479"/>
    <w:rsid w:val="00320D07"/>
    <w:rsid w:val="003A3EC2"/>
    <w:rsid w:val="0040068D"/>
    <w:rsid w:val="00427145"/>
    <w:rsid w:val="00445696"/>
    <w:rsid w:val="0045178F"/>
    <w:rsid w:val="004576BB"/>
    <w:rsid w:val="00486B57"/>
    <w:rsid w:val="004D6B20"/>
    <w:rsid w:val="004F554A"/>
    <w:rsid w:val="00543DC3"/>
    <w:rsid w:val="00557565"/>
    <w:rsid w:val="00561502"/>
    <w:rsid w:val="005742B8"/>
    <w:rsid w:val="005B6E92"/>
    <w:rsid w:val="00603EBC"/>
    <w:rsid w:val="00612ACD"/>
    <w:rsid w:val="00617D4C"/>
    <w:rsid w:val="006745ED"/>
    <w:rsid w:val="006A315C"/>
    <w:rsid w:val="006A3EDA"/>
    <w:rsid w:val="006F26D7"/>
    <w:rsid w:val="006F2747"/>
    <w:rsid w:val="00751CD8"/>
    <w:rsid w:val="007B76ED"/>
    <w:rsid w:val="007C4854"/>
    <w:rsid w:val="00800AB6"/>
    <w:rsid w:val="008151ED"/>
    <w:rsid w:val="00851B12"/>
    <w:rsid w:val="00857BA2"/>
    <w:rsid w:val="0088191C"/>
    <w:rsid w:val="008C27EF"/>
    <w:rsid w:val="008D5905"/>
    <w:rsid w:val="008E28C2"/>
    <w:rsid w:val="0094351B"/>
    <w:rsid w:val="009534DD"/>
    <w:rsid w:val="00960571"/>
    <w:rsid w:val="009B13A3"/>
    <w:rsid w:val="009D6BD0"/>
    <w:rsid w:val="009E3E1A"/>
    <w:rsid w:val="009F33A3"/>
    <w:rsid w:val="00A03DFB"/>
    <w:rsid w:val="00A22CB7"/>
    <w:rsid w:val="00A26DEA"/>
    <w:rsid w:val="00A50573"/>
    <w:rsid w:val="00A71B33"/>
    <w:rsid w:val="00B31A25"/>
    <w:rsid w:val="00B51B40"/>
    <w:rsid w:val="00B52211"/>
    <w:rsid w:val="00B671EB"/>
    <w:rsid w:val="00B7326F"/>
    <w:rsid w:val="00BB3BF5"/>
    <w:rsid w:val="00BC2C91"/>
    <w:rsid w:val="00C36677"/>
    <w:rsid w:val="00CA2697"/>
    <w:rsid w:val="00D929C8"/>
    <w:rsid w:val="00DA437F"/>
    <w:rsid w:val="00DB1AF8"/>
    <w:rsid w:val="00DC0393"/>
    <w:rsid w:val="00E47C0E"/>
    <w:rsid w:val="00E62C0A"/>
    <w:rsid w:val="00E67D4C"/>
    <w:rsid w:val="00E7105A"/>
    <w:rsid w:val="00E717C1"/>
    <w:rsid w:val="00E917E5"/>
    <w:rsid w:val="00EF2FBC"/>
    <w:rsid w:val="00F465A8"/>
    <w:rsid w:val="00F66BEC"/>
    <w:rsid w:val="00F87F5D"/>
    <w:rsid w:val="00FC6EF2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43DC3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andbooks.uwa.edu.au/coursedetails?code=BH01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3D088-8C86-4E29-8C62-AF7A2E5AC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C715A-020E-41CA-A4D0-CDF29D91F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15</cp:revision>
  <dcterms:created xsi:type="dcterms:W3CDTF">2023-11-01T03:47:00Z</dcterms:created>
  <dcterms:modified xsi:type="dcterms:W3CDTF">2024-01-15T04:42:00Z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218800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